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1067708" w:rsidR="00F92268" w:rsidRPr="00094965" w:rsidRDefault="00094965" w:rsidP="00094965">
            <w:pPr>
              <w:pStyle w:val="Head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E75EC0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3C7ECF7" w:rsidR="004B15BB" w:rsidRPr="00BD1CC1" w:rsidRDefault="00061E96" w:rsidP="007E5C16">
      <w:pPr>
        <w:pStyle w:val="Heading1"/>
      </w:pPr>
      <w:r w:rsidRPr="00061E96">
        <w:t>Specialty Guideline Management</w:t>
      </w:r>
      <w:r>
        <w:br/>
      </w:r>
      <w:r w:rsidRPr="00061E96">
        <w:t>Xospata</w:t>
      </w:r>
    </w:p>
    <w:p w14:paraId="78861C92" w14:textId="77DA8B2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61A608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5A0E54" w:rsidRPr="00BD1CC1">
        <w:t>O</w:t>
      </w:r>
      <w:r w:rsidR="005A0E54">
        <w:t>ver-the-counter</w:t>
      </w:r>
      <w:r w:rsidR="005A0E54" w:rsidRPr="00BD1CC1">
        <w:t xml:space="preserve"> </w:t>
      </w:r>
      <w:r w:rsidR="005A0E54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7720C40" w:rsidR="00585FFF" w:rsidRPr="00BD1CC1" w:rsidRDefault="00061E96" w:rsidP="00E82ABA">
            <w:pPr>
              <w:pStyle w:val="TableDataUnpadded"/>
            </w:pPr>
            <w:r w:rsidRPr="00061E96">
              <w:t>Xospata</w:t>
            </w:r>
          </w:p>
        </w:tc>
        <w:tc>
          <w:tcPr>
            <w:tcW w:w="5595" w:type="dxa"/>
          </w:tcPr>
          <w:p w14:paraId="7E26A004" w14:textId="4539986E" w:rsidR="00585FFF" w:rsidRPr="00BD1CC1" w:rsidRDefault="00061E96" w:rsidP="00E82ABA">
            <w:pPr>
              <w:pStyle w:val="TableDataUnpadded"/>
            </w:pPr>
            <w:r w:rsidRPr="00061E96">
              <w:t>gilteritinib</w:t>
            </w:r>
          </w:p>
        </w:tc>
      </w:tr>
    </w:tbl>
    <w:bookmarkEnd w:id="0"/>
    <w:p w14:paraId="14CE6108" w14:textId="0CF67FA7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0E391E24" w14:textId="3EB0C1B5" w:rsidR="00061E96" w:rsidRPr="00061E96" w:rsidRDefault="00061E96" w:rsidP="00061E96">
      <w:pPr>
        <w:pStyle w:val="BodyText"/>
      </w:pPr>
      <w:r w:rsidRPr="00061E9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5816230" w:rsidR="00ED052F" w:rsidRPr="00BD1CC1" w:rsidRDefault="00ED052F" w:rsidP="00094965">
      <w:pPr>
        <w:pStyle w:val="Heading3"/>
        <w:keepNext w:val="0"/>
        <w:spacing w:before="120"/>
      </w:pPr>
      <w:r w:rsidRPr="00BD1CC1">
        <w:t>FDA-approved Indications</w:t>
      </w:r>
      <w:r w:rsidR="00061E96" w:rsidRPr="00061E96">
        <w:rPr>
          <w:vertAlign w:val="superscript"/>
        </w:rPr>
        <w:t>1</w:t>
      </w:r>
    </w:p>
    <w:p w14:paraId="4C434745" w14:textId="5A2F2A4F" w:rsidR="00ED052F" w:rsidRDefault="00061E96" w:rsidP="00ED052F">
      <w:pPr>
        <w:pStyle w:val="BodyText"/>
      </w:pPr>
      <w:r w:rsidRPr="00061E96">
        <w:t>Xospata is indicated for the treatment of adult patients who have relapsed or refractory acute myeloid leukemia (AML) with a FMS-like tyrosine kinase 3 (FLT3) mutation as detected by an FDA-approved test.</w:t>
      </w:r>
    </w:p>
    <w:p w14:paraId="0B5EC236" w14:textId="678BE443" w:rsidR="0044763A" w:rsidRPr="00061E96" w:rsidRDefault="009F2EF1" w:rsidP="00094965">
      <w:pPr>
        <w:pStyle w:val="Heading3"/>
        <w:spacing w:before="120"/>
      </w:pPr>
      <w:r>
        <w:t>Compendial Uses</w:t>
      </w:r>
      <w:r w:rsidR="00061E96" w:rsidRPr="00061E96">
        <w:rPr>
          <w:vertAlign w:val="superscript"/>
        </w:rPr>
        <w:t>2</w:t>
      </w:r>
    </w:p>
    <w:p w14:paraId="472DDB17" w14:textId="7CC0B9D3" w:rsidR="00061E96" w:rsidRDefault="00061E96" w:rsidP="00061E96">
      <w:pPr>
        <w:pStyle w:val="ListParagraph"/>
      </w:pPr>
      <w:r>
        <w:t>Myeloid/lymphoid neoplasms with eosinophilia and FLT3 rearrangement in chronic phase or blast phase</w:t>
      </w:r>
    </w:p>
    <w:p w14:paraId="1F11EA6A" w14:textId="08A5CB8B" w:rsidR="009A5649" w:rsidRDefault="00061E96" w:rsidP="00061E96">
      <w:pPr>
        <w:pStyle w:val="ListParagraph"/>
      </w:pPr>
      <w:r>
        <w:t>Myeloid, lymphoid, or mixed lineage neoplasms with eosinophilia and FLT3 rearrangement in blast phase</w:t>
      </w:r>
    </w:p>
    <w:p w14:paraId="15A04BD5" w14:textId="3B5FF88E" w:rsidR="009C793A" w:rsidRPr="00BD1CC1" w:rsidRDefault="00441CCE" w:rsidP="00061E96">
      <w:pPr>
        <w:pStyle w:val="ListParagraph"/>
      </w:pPr>
      <w:r>
        <w:t>AML</w:t>
      </w:r>
    </w:p>
    <w:p w14:paraId="0D5A9DD5" w14:textId="5B7E3896" w:rsidR="009A5649" w:rsidRPr="00BD1CC1" w:rsidRDefault="009A5649" w:rsidP="00094965">
      <w:pPr>
        <w:pStyle w:val="BodyText"/>
        <w:spacing w:after="0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144DA8F6" w:rsidR="000D2496" w:rsidRPr="00BD1CC1" w:rsidRDefault="000D2496" w:rsidP="00094965">
      <w:pPr>
        <w:pStyle w:val="Heading2"/>
        <w:keepNext w:val="0"/>
        <w:widowControl w:val="0"/>
      </w:pPr>
      <w:r w:rsidRPr="00BD1CC1">
        <w:t>Documentation</w:t>
      </w:r>
    </w:p>
    <w:p w14:paraId="2180ED6E" w14:textId="1F0A0B49" w:rsidR="000D2496" w:rsidRDefault="00061E96" w:rsidP="00094965">
      <w:pPr>
        <w:pStyle w:val="BodyText"/>
        <w:widowControl w:val="0"/>
      </w:pPr>
      <w:r w:rsidRPr="00061E96">
        <w:lastRenderedPageBreak/>
        <w:t xml:space="preserve">Submission of the following information is necessary to initiate the prior authorization review: medical record documentation of FLT3 </w:t>
      </w:r>
      <w:r w:rsidR="00441CCE">
        <w:t>and</w:t>
      </w:r>
      <w:r w:rsidR="00441CCE" w:rsidRPr="00441CCE">
        <w:t xml:space="preserve"> isocitrate dehydrogenase</w:t>
      </w:r>
      <w:r w:rsidR="00441CCE">
        <w:t xml:space="preserve"> 1 (IDH1) </w:t>
      </w:r>
      <w:r w:rsidRPr="00061E96">
        <w:t>mutation</w:t>
      </w:r>
      <w:r w:rsidR="00441CCE">
        <w:t xml:space="preserve"> status, where applicable</w:t>
      </w:r>
    </w:p>
    <w:p w14:paraId="50A38FBA" w14:textId="0257B060" w:rsidR="00FE0C63" w:rsidRPr="00061E96" w:rsidRDefault="00685107" w:rsidP="00094965">
      <w:pPr>
        <w:pStyle w:val="Heading2"/>
        <w:spacing w:before="360"/>
      </w:pPr>
      <w:r>
        <w:t>Coverage Criteria</w:t>
      </w:r>
    </w:p>
    <w:p w14:paraId="37F8E5ED" w14:textId="7915FF87" w:rsidR="00061E96" w:rsidRPr="00061E96" w:rsidRDefault="00061E96" w:rsidP="00094965">
      <w:pPr>
        <w:pStyle w:val="Heading3"/>
        <w:spacing w:before="100" w:after="0"/>
      </w:pPr>
      <w:r w:rsidRPr="00061E96">
        <w:t>Acute Myeloid Leukemia (AML)</w:t>
      </w:r>
      <w:r w:rsidRPr="00656240">
        <w:rPr>
          <w:vertAlign w:val="superscript"/>
        </w:rPr>
        <w:t>1,2</w:t>
      </w:r>
    </w:p>
    <w:p w14:paraId="11F31EC3" w14:textId="2354BDA9" w:rsidR="00D22F47" w:rsidRDefault="00061E96" w:rsidP="00061E96">
      <w:r w:rsidRPr="00061E96">
        <w:t>Authorization of 12 months may be granted for the treatment of FLT3 mutation-positive</w:t>
      </w:r>
      <w:r w:rsidR="00D22F47">
        <w:t xml:space="preserve"> AML without IDH1 mutation as a single agent or in combination with azacitidine in any of the following clinical settings:</w:t>
      </w:r>
    </w:p>
    <w:p w14:paraId="323DB0E8" w14:textId="281406C7" w:rsidR="00D22F47" w:rsidRDefault="00D22F47" w:rsidP="00D22F47">
      <w:pPr>
        <w:pStyle w:val="ListParagraph"/>
        <w:numPr>
          <w:ilvl w:val="0"/>
          <w:numId w:val="26"/>
        </w:numPr>
      </w:pPr>
      <w:r>
        <w:t>Induction therapy if not a candidate for or declines intensive induction therapy</w:t>
      </w:r>
    </w:p>
    <w:p w14:paraId="18C6BFDD" w14:textId="7767D9F2" w:rsidR="00D22F47" w:rsidRDefault="00D22F47" w:rsidP="00D22F47">
      <w:pPr>
        <w:pStyle w:val="ListParagraph"/>
        <w:numPr>
          <w:ilvl w:val="0"/>
          <w:numId w:val="26"/>
        </w:numPr>
      </w:pPr>
      <w:r>
        <w:t>Post-induction therapy when the member has experienced response to Xospata therapy</w:t>
      </w:r>
    </w:p>
    <w:p w14:paraId="7183B740" w14:textId="77777777" w:rsidR="00D22F47" w:rsidRDefault="00D22F47" w:rsidP="00D22F47">
      <w:proofErr w:type="spellStart"/>
      <w:r>
        <w:t>Authoriation</w:t>
      </w:r>
      <w:proofErr w:type="spellEnd"/>
      <w:r>
        <w:t xml:space="preserve"> of 12 months may be granted for the treatment of FLT3 mutation-positive AML as a single agent in any of the following clinical settings:</w:t>
      </w:r>
    </w:p>
    <w:p w14:paraId="0642C336" w14:textId="4C4346E8" w:rsidR="00D22F47" w:rsidRDefault="00D22F47" w:rsidP="00D22F47">
      <w:pPr>
        <w:pStyle w:val="ListParagraph"/>
        <w:numPr>
          <w:ilvl w:val="0"/>
          <w:numId w:val="27"/>
        </w:numPr>
      </w:pPr>
      <w:r>
        <w:t>Maintenance therapy post-allogeneic hematopoietic cell transplantation</w:t>
      </w:r>
    </w:p>
    <w:p w14:paraId="38103EBB" w14:textId="37A12994" w:rsidR="00061E96" w:rsidRPr="00061E96" w:rsidRDefault="00D22F47" w:rsidP="00DD112F">
      <w:pPr>
        <w:pStyle w:val="ListParagraph"/>
        <w:numPr>
          <w:ilvl w:val="0"/>
          <w:numId w:val="27"/>
        </w:numPr>
      </w:pPr>
      <w:r>
        <w:t>R</w:t>
      </w:r>
      <w:r w:rsidR="00061E96" w:rsidRPr="00061E96">
        <w:t>elapsed or refractory</w:t>
      </w:r>
      <w:r>
        <w:t xml:space="preserve"> disease</w:t>
      </w:r>
    </w:p>
    <w:p w14:paraId="62436133" w14:textId="51D2DB72" w:rsidR="00061E96" w:rsidRPr="00061E96" w:rsidRDefault="00061E96" w:rsidP="00061E96">
      <w:pPr>
        <w:pStyle w:val="Heading3"/>
        <w:spacing w:after="0"/>
      </w:pPr>
      <w:r w:rsidRPr="00061E96">
        <w:t>Myeloid/Lymphoid Neoplasms with eosinophilia</w:t>
      </w:r>
      <w:r w:rsidRPr="00656240">
        <w:rPr>
          <w:vertAlign w:val="superscript"/>
        </w:rPr>
        <w:t>2</w:t>
      </w:r>
    </w:p>
    <w:p w14:paraId="554B6E8F" w14:textId="01129046" w:rsidR="00B836B0" w:rsidRPr="00061E96" w:rsidRDefault="00061E96" w:rsidP="00061E96">
      <w:r w:rsidRPr="00061E96">
        <w:t>Authorization of 12 months may be granted for the treatment of myeloid and/or lymphoid neoplasms with eosinophilia with a FLT3 rearrangement in the chronic phase or blast phase.</w:t>
      </w:r>
    </w:p>
    <w:p w14:paraId="3A643EC3" w14:textId="76EE6E7D" w:rsidR="00A501AC" w:rsidRPr="00BD1CC1" w:rsidRDefault="00A501AC" w:rsidP="00094965">
      <w:pPr>
        <w:pStyle w:val="Heading2"/>
        <w:spacing w:before="360"/>
      </w:pPr>
      <w:r w:rsidRPr="00BD1CC1">
        <w:t>Continuation of Therapy</w:t>
      </w:r>
    </w:p>
    <w:p w14:paraId="32C8905D" w14:textId="3CC4E03E" w:rsidR="00A501AC" w:rsidRPr="003D46B0" w:rsidRDefault="00061E96" w:rsidP="003D46B0">
      <w:pPr>
        <w:pStyle w:val="BodyText"/>
      </w:pPr>
      <w:r w:rsidRPr="00061E96">
        <w:t xml:space="preserve">Authorization of 12 months may be granted for continued treatment in members requesting reauthorization for an indication listed in </w:t>
      </w:r>
      <w:r w:rsidR="00441CCE">
        <w:t>the coverage criteria section</w:t>
      </w:r>
      <w:r w:rsidRPr="00061E96">
        <w:t xml:space="preserve"> when there is no evidence of unacceptable toxicity or disease progression while on the current regimen</w:t>
      </w:r>
      <w:r w:rsidR="00A501AC" w:rsidRPr="003D46B0">
        <w:t>.</w:t>
      </w:r>
    </w:p>
    <w:p w14:paraId="10DA4309" w14:textId="3411A134" w:rsidR="00FF66BF" w:rsidRPr="008D1B34" w:rsidRDefault="00FF66BF" w:rsidP="00094965">
      <w:pPr>
        <w:pStyle w:val="Heading2"/>
        <w:spacing w:before="360"/>
      </w:pPr>
      <w:r w:rsidRPr="008D1B34">
        <w:t>References</w:t>
      </w:r>
    </w:p>
    <w:p w14:paraId="64ABD455" w14:textId="23622208" w:rsidR="00061E96" w:rsidRDefault="00061E96" w:rsidP="00061E96">
      <w:pPr>
        <w:pStyle w:val="ReferenceOrdered"/>
      </w:pPr>
      <w:r>
        <w:t>Xospata [package insert]. Northbrook, IL: Astellas Pharma US, Inc.; January 2022.</w:t>
      </w:r>
    </w:p>
    <w:p w14:paraId="26E25A0F" w14:textId="6A63819D" w:rsidR="00FF66BF" w:rsidRDefault="00061E96" w:rsidP="00061E96">
      <w:pPr>
        <w:pStyle w:val="ReferenceOrdered"/>
      </w:pPr>
      <w:r>
        <w:t>The NCCN Drugs &amp; Biologics Compendium</w:t>
      </w:r>
      <w:proofErr w:type="gramStart"/>
      <w:r>
        <w:t>®  202</w:t>
      </w:r>
      <w:r w:rsidR="00441CCE">
        <w:t>5</w:t>
      </w:r>
      <w:proofErr w:type="gramEnd"/>
      <w:r>
        <w:t xml:space="preserve"> National Comprehensive Cancer Network, Inc. </w:t>
      </w:r>
      <w:r w:rsidRPr="00094965">
        <w:t>http://www.nccn.org</w:t>
      </w:r>
      <w:r>
        <w:t xml:space="preserve">. Accessed </w:t>
      </w:r>
      <w:r w:rsidR="004A49B9">
        <w:t>January 21, 2025</w:t>
      </w:r>
      <w:r>
        <w:t>.</w:t>
      </w:r>
    </w:p>
    <w:sectPr w:rsidR="00FF66BF" w:rsidSect="00E75EC0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3F31" w14:textId="77777777" w:rsidR="00475AE6" w:rsidRDefault="00475AE6">
      <w:r>
        <w:separator/>
      </w:r>
    </w:p>
  </w:endnote>
  <w:endnote w:type="continuationSeparator" w:id="0">
    <w:p w14:paraId="0A039490" w14:textId="77777777" w:rsidR="00475AE6" w:rsidRDefault="00475AE6">
      <w:r>
        <w:continuationSeparator/>
      </w:r>
    </w:p>
  </w:endnote>
  <w:endnote w:type="continuationNotice" w:id="1">
    <w:p w14:paraId="791CA2FC" w14:textId="77777777" w:rsidR="00475AE6" w:rsidRDefault="00475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795C5" w14:textId="6B55B7CD" w:rsidR="001052D0" w:rsidRPr="00EC47B6" w:rsidRDefault="001052D0" w:rsidP="001052D0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\* FirstCap  \* MERGEFORMAT </w:instrTex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D732D">
      <w:rPr>
        <w:rFonts w:cs="Arial"/>
        <w:noProof/>
        <w:snapToGrid w:val="0"/>
        <w:color w:val="000000"/>
        <w:sz w:val="16"/>
        <w:szCs w:val="16"/>
        <w:lang w:val="pt-BR"/>
      </w:rPr>
      <w:t>Xospata SGM 2807-A P2025.docx</w: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end"/>
    </w:r>
    <w:r w:rsidRPr="00531E58">
      <w:rPr>
        <w:rFonts w:cs="Arial"/>
        <w:snapToGrid w:val="0"/>
        <w:color w:val="000000"/>
        <w:sz w:val="16"/>
        <w:lang w:val="pt-BR"/>
      </w:rPr>
      <w:tab/>
      <w:t>© 202</w:t>
    </w:r>
    <w:r w:rsidR="004A49B9">
      <w:rPr>
        <w:rFonts w:cs="Arial"/>
        <w:snapToGrid w:val="0"/>
        <w:color w:val="000000"/>
        <w:sz w:val="16"/>
        <w:lang w:val="pt-BR"/>
      </w:rPr>
      <w:t>5</w:t>
    </w:r>
    <w:r w:rsidRPr="00531E58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557973E4" w14:textId="77777777" w:rsidR="001052D0" w:rsidRPr="00EC47B6" w:rsidRDefault="001052D0" w:rsidP="001052D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1F54F022" w:rsidR="00F75C81" w:rsidRPr="00AA1E6A" w:rsidRDefault="001052D0" w:rsidP="009649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1EFD" w14:textId="48CC51E7" w:rsidR="00531E58" w:rsidRPr="00EC47B6" w:rsidRDefault="00531E58" w:rsidP="00531E5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531E58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D732D" w:rsidRPr="001D732D">
      <w:rPr>
        <w:rFonts w:cs="Arial"/>
        <w:noProof/>
        <w:sz w:val="16"/>
        <w:szCs w:val="16"/>
        <w:lang w:val="pt-BR"/>
      </w:rPr>
      <w:t>Xospata</w:t>
    </w:r>
    <w:r w:rsidR="001D732D">
      <w:rPr>
        <w:rFonts w:cs="Arial"/>
        <w:noProof/>
        <w:snapToGrid w:val="0"/>
        <w:color w:val="000000"/>
        <w:sz w:val="16"/>
        <w:szCs w:val="16"/>
        <w:lang w:val="pt-BR"/>
      </w:rPr>
      <w:t xml:space="preserve"> SGM 2807-A</w:t>
    </w:r>
    <w:r w:rsidR="001D732D" w:rsidRPr="001D732D">
      <w:rPr>
        <w:rFonts w:cs="Arial"/>
        <w:noProof/>
        <w:sz w:val="16"/>
        <w:szCs w:val="16"/>
        <w:lang w:val="pt-BR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531E58">
      <w:rPr>
        <w:rFonts w:cs="Arial"/>
        <w:snapToGrid w:val="0"/>
        <w:color w:val="000000"/>
        <w:sz w:val="16"/>
        <w:lang w:val="pt-BR"/>
      </w:rPr>
      <w:tab/>
      <w:t>© 202</w:t>
    </w:r>
    <w:r w:rsidR="006B5AC1">
      <w:rPr>
        <w:rFonts w:cs="Arial"/>
        <w:snapToGrid w:val="0"/>
        <w:color w:val="000000"/>
        <w:sz w:val="16"/>
        <w:lang w:val="pt-BR"/>
      </w:rPr>
      <w:t>5</w:t>
    </w:r>
    <w:r w:rsidRPr="00531E58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0656A1E3" w14:textId="7B3F7566" w:rsidR="00531E58" w:rsidRPr="00EC47B6" w:rsidRDefault="00531E58" w:rsidP="00531E5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691261A" w14:textId="2C1CC930" w:rsidR="00531E58" w:rsidRPr="00F50D98" w:rsidRDefault="00531E58" w:rsidP="0096495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6DD9" w14:textId="77777777" w:rsidR="00475AE6" w:rsidRDefault="00475AE6">
      <w:r>
        <w:separator/>
      </w:r>
    </w:p>
  </w:footnote>
  <w:footnote w:type="continuationSeparator" w:id="0">
    <w:p w14:paraId="093B20AC" w14:textId="77777777" w:rsidR="00475AE6" w:rsidRDefault="00475AE6">
      <w:r>
        <w:continuationSeparator/>
      </w:r>
    </w:p>
  </w:footnote>
  <w:footnote w:type="continuationNotice" w:id="1">
    <w:p w14:paraId="7281774E" w14:textId="77777777" w:rsidR="00475AE6" w:rsidRDefault="00475A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531E58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8F5CC74" w:rsidR="00531E58" w:rsidRPr="00AA1E6A" w:rsidRDefault="00531E58" w:rsidP="00531E58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2807-A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D511D"/>
    <w:multiLevelType w:val="hybridMultilevel"/>
    <w:tmpl w:val="F38AB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836E0"/>
    <w:multiLevelType w:val="hybridMultilevel"/>
    <w:tmpl w:val="C0C4DB4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7"/>
  </w:num>
  <w:num w:numId="26" w16cid:durableId="1817263091">
    <w:abstractNumId w:val="16"/>
  </w:num>
  <w:num w:numId="27" w16cid:durableId="1078753248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AFD"/>
    <w:rsid w:val="00021C51"/>
    <w:rsid w:val="00021F62"/>
    <w:rsid w:val="00022D21"/>
    <w:rsid w:val="0002338D"/>
    <w:rsid w:val="00023E7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E96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0CF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96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5A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75C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2D0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EEA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5B37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0A0F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44F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69C0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4CD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32D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1C2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7A2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597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1CCE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66A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EC5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AE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49B9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4F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E58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57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0E54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34AC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685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848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6240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AC1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3C22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5D80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5AA0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4CD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C2A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95C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93A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E9E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47EB5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670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2F47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2DB5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2F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5EC0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F49"/>
    <w:rsid w:val="00F043C9"/>
    <w:rsid w:val="00F04FA6"/>
    <w:rsid w:val="00F0554B"/>
    <w:rsid w:val="00F05A89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4CF2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1A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094965"/>
    <w:pPr>
      <w:keepNext/>
      <w:tabs>
        <w:tab w:val="left" w:pos="2880"/>
      </w:tabs>
      <w:spacing w:before="40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094965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19E9AC-9730-4352-AD76-7BF3B39A0EC2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Xospata SGM 2807-A</vt:lpstr>
    </vt:vector>
  </TitlesOfParts>
  <Company>CVS Caremark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Xospata SGM 2807-A</dc:title>
  <dc:subject>Xospata SGM 2807-A</dc:subject>
  <dc:creator>CVS Caremark</dc:creator>
  <cp:keywords/>
  <cp:lastModifiedBy>Reynoso, Victor H</cp:lastModifiedBy>
  <cp:revision>4</cp:revision>
  <cp:lastPrinted>2024-04-12T12:12:00Z</cp:lastPrinted>
  <dcterms:created xsi:type="dcterms:W3CDTF">2025-04-23T18:26:00Z</dcterms:created>
  <dcterms:modified xsi:type="dcterms:W3CDTF">2025-04-23T18:29:00Z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560700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